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3D60C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2.55pt;margin-top:10.4pt;width:2in;height:44.25pt;z-index:251662336">
            <v:textbox inset=",2.3mm,,2.3mm">
              <w:txbxContent>
                <w:p w:rsidR="00A90F32" w:rsidRDefault="00A90F32" w:rsidP="001D2CD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Ondas II</w:t>
                  </w:r>
                </w:p>
                <w:p w:rsidR="00A90F32" w:rsidRPr="00E81A73" w:rsidRDefault="00A90F32" w:rsidP="001D2CDB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margin-left:309.9pt;margin-top:10.4pt;width:238.65pt;height:57pt;z-index:251666432" adj="-3801,14779,-543,3411,-543,3411,-23827,15916">
            <v:stroke startarrow="oval"/>
            <v:textbox inset="1.5mm,,1.5mm">
              <w:txbxContent>
                <w:p w:rsidR="00A90F32" w:rsidRDefault="00A90F32" w:rsidP="001D2CDB">
                  <w:pPr>
                    <w:contextualSpacing/>
                  </w:pPr>
                  <w:r>
                    <w:t xml:space="preserve">Página de </w:t>
                  </w:r>
                  <w:r w:rsidRPr="00BB5924">
                    <w:rPr>
                      <w:b/>
                      <w:i/>
                    </w:rPr>
                    <w:t>FQW</w:t>
                  </w:r>
                  <w:r w:rsidRPr="0022725A">
                    <w:t xml:space="preserve"> que da acceso a los </w:t>
                  </w:r>
                  <w:r w:rsidRPr="00661F9F">
                    <w:rPr>
                      <w:b/>
                      <w:i/>
                    </w:rPr>
                    <w:t>laboratorios virtuales</w:t>
                  </w:r>
                  <w:r w:rsidRPr="0022725A">
                    <w:t xml:space="preserve"> (Flash)</w:t>
                  </w:r>
                  <w:r>
                    <w:t xml:space="preserve">. </w:t>
                  </w:r>
                </w:p>
                <w:p w:rsidR="00A90F32" w:rsidRPr="0022725A" w:rsidRDefault="00A90F32" w:rsidP="001D2CDB">
                  <w:pPr>
                    <w:contextualSpacing/>
                  </w:pPr>
                  <w:r>
                    <w:t xml:space="preserve">Entrar en </w:t>
                  </w:r>
                  <w:r w:rsidRPr="001D2CDB">
                    <w:rPr>
                      <w:b/>
                      <w:i/>
                    </w:rPr>
                    <w:t>Ondas II</w:t>
                  </w:r>
                </w:p>
                <w:p w:rsidR="00A90F32" w:rsidRPr="0022725A" w:rsidRDefault="00A90F32" w:rsidP="001D2CDB">
                  <w:pPr>
                    <w:contextualSpacing/>
                  </w:pPr>
                  <w:r w:rsidRPr="0022725A">
                    <w:t>Leer instrucciones para acceder a</w:t>
                  </w:r>
                  <w:r>
                    <w:t xml:space="preserve"> las aplicaciones.</w:t>
                  </w:r>
                  <w:r w:rsidRPr="0022725A">
                    <w:t xml:space="preserve"> 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26" type="#_x0000_t202" style="position:absolute;margin-left:165.3pt;margin-top:2.9pt;width:91.5pt;height:44.25pt;z-index:251661312">
            <v:textbox inset=",2.3mm,,2.3mm">
              <w:txbxContent>
                <w:p w:rsidR="00A90F32" w:rsidRDefault="00A90F32" w:rsidP="001D2CD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Ondas II</w:t>
                  </w:r>
                </w:p>
                <w:p w:rsidR="00A90F32" w:rsidRPr="00E81A73" w:rsidRDefault="00A90F32" w:rsidP="001D2C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 w:rsidR="001D2CD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36830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CDB" w:rsidRDefault="001D2CDB"/>
    <w:p w:rsidR="001D2CDB" w:rsidRDefault="001D2CDB"/>
    <w:p w:rsidR="001D2CDB" w:rsidRDefault="00035C7A" w:rsidP="001D2CDB">
      <w:pPr>
        <w:rPr>
          <w:b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227330</wp:posOffset>
            </wp:positionV>
            <wp:extent cx="4743450" cy="2895600"/>
            <wp:effectExtent l="19050" t="0" r="0" b="0"/>
            <wp:wrapNone/>
            <wp:docPr id="3" name="2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D2CDB" w:rsidRPr="003479C0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1D2CDB" w:rsidRDefault="003D60C7">
      <w:r w:rsidRPr="003D60C7">
        <w:rPr>
          <w:noProof/>
          <w:color w:val="0070C0"/>
          <w:lang w:eastAsia="es-ES"/>
        </w:rPr>
        <w:pict>
          <v:shape id="_x0000_s1029" type="#_x0000_t48" style="position:absolute;margin-left:406.2pt;margin-top:6.35pt;width:219pt;height:38.25pt;z-index:251665408" adj="-8965,35576,-4744,5082,-592,5082,577,72424" strokecolor="red" strokeweight="1pt">
            <v:stroke startarrow="oval"/>
            <v:textbox inset="1.5mm,,1.5mm">
              <w:txbxContent>
                <w:p w:rsidR="00A90F32" w:rsidRPr="001D2CDB" w:rsidRDefault="00A90F32" w:rsidP="00035C7A">
                  <w:pPr>
                    <w:spacing w:after="60"/>
                  </w:pPr>
                  <w:r>
                    <w:t xml:space="preserve">Ondas II. </w:t>
                  </w:r>
                  <w:r w:rsidRPr="001D2CDB">
                    <w:t>Experiencias.</w:t>
                  </w:r>
                </w:p>
                <w:p w:rsidR="00A90F32" w:rsidRPr="001D2CDB" w:rsidRDefault="00A90F32" w:rsidP="00035C7A">
                  <w:pPr>
                    <w:spacing w:after="60"/>
                  </w:pPr>
                  <w:r>
                    <w:t xml:space="preserve">Clic en: </w:t>
                  </w:r>
                  <w:r w:rsidRPr="00720DA5">
                    <w:rPr>
                      <w:b/>
                    </w:rPr>
                    <w:t>“</w:t>
                  </w:r>
                  <w:r w:rsidRPr="00720DA5">
                    <w:rPr>
                      <w:b/>
                      <w:i/>
                    </w:rPr>
                    <w:t>Determinar índice de refracción”</w:t>
                  </w:r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  <o:callout v:ext="edit" minusy="t"/>
          </v:shape>
        </w:pict>
      </w:r>
    </w:p>
    <w:p w:rsidR="001D2CDB" w:rsidRDefault="001D2CDB"/>
    <w:p w:rsidR="001D2CDB" w:rsidRDefault="001D2CDB"/>
    <w:p w:rsidR="001D2CDB" w:rsidRDefault="003D60C7">
      <w:r>
        <w:rPr>
          <w:noProof/>
          <w:lang w:eastAsia="es-ES"/>
        </w:rPr>
        <w:pict>
          <v:shape id="_x0000_s1031" type="#_x0000_t48" style="position:absolute;margin-left:534.3pt;margin-top:10.1pt;width:133.5pt;height:26.25pt;z-index:251670528" adj="-7669,146880,-4296,7406,-971,7406,-46743,312891" strokecolor="red" strokeweight="1pt">
            <v:stroke startarrow="oval"/>
            <v:textbox inset="1.5mm,,1.5mm">
              <w:txbxContent>
                <w:p w:rsidR="00A90F32" w:rsidRPr="00035C7A" w:rsidRDefault="00A90F32" w:rsidP="00035C7A">
                  <w:r w:rsidRPr="00035C7A">
                    <w:t>Clic para generar los rayos</w:t>
                  </w:r>
                </w:p>
              </w:txbxContent>
            </v:textbox>
            <o:callout v:ext="edit" minusy="t"/>
          </v:shape>
        </w:pict>
      </w:r>
    </w:p>
    <w:p w:rsidR="001D2CDB" w:rsidRDefault="001D2CDB"/>
    <w:p w:rsidR="001D2CDB" w:rsidRDefault="003D60C7">
      <w:r>
        <w:rPr>
          <w:noProof/>
          <w:lang w:eastAsia="es-ES"/>
        </w:rPr>
        <w:pict>
          <v:shape id="_x0000_s1028" type="#_x0000_t48" style="position:absolute;margin-left:615.3pt;margin-top:15.6pt;width:107.4pt;height:36pt;z-index:251669504" adj="-9080,49950,-5118,5400,-1207,5400,-38494,51300" strokecolor="red" strokeweight="1pt">
            <v:stroke startarrow="oval"/>
            <v:textbox inset="1.5mm,,1.5mm">
              <w:txbxContent>
                <w:p w:rsidR="00A90F32" w:rsidRPr="00720DA5" w:rsidRDefault="00A90F32" w:rsidP="001D2CDB">
                  <w:r w:rsidRPr="00720DA5">
                    <w:t>Selector</w:t>
                  </w:r>
                  <w:r>
                    <w:t xml:space="preserve"> (tres exp</w:t>
                  </w:r>
                  <w:r>
                    <w:t>e</w:t>
                  </w:r>
                  <w:r>
                    <w:t>riencias distintas)</w:t>
                  </w:r>
                </w:p>
              </w:txbxContent>
            </v:textbox>
            <o:callout v:ext="edit" minusy="t"/>
          </v:shape>
        </w:pict>
      </w:r>
    </w:p>
    <w:p w:rsidR="001D2CDB" w:rsidRDefault="001D2CDB"/>
    <w:p w:rsidR="001D2CDB" w:rsidRDefault="003D60C7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351.45pt;margin-top:-.65pt;width:36.75pt;height:39.75pt;rotation:-3414070fd;z-index:251674624">
            <v:textbox style="layout-flow:vertical-ideographic"/>
          </v:shape>
        </w:pict>
      </w:r>
    </w:p>
    <w:p w:rsidR="001D2CDB" w:rsidRDefault="00035C7A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55245</wp:posOffset>
            </wp:positionV>
            <wp:extent cx="4848225" cy="2962275"/>
            <wp:effectExtent l="19050" t="0" r="9525" b="0"/>
            <wp:wrapNone/>
            <wp:docPr id="6" name="5 Imagen" descr="L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CDB" w:rsidRDefault="001D2CDB"/>
    <w:p w:rsidR="001D2CDB" w:rsidRDefault="001D2CDB"/>
    <w:p w:rsidR="001D2CDB" w:rsidRDefault="001D2CDB"/>
    <w:p w:rsidR="001D2CDB" w:rsidRDefault="001D2CDB"/>
    <w:p w:rsidR="001D2CDB" w:rsidRDefault="001D2CDB"/>
    <w:p w:rsidR="001D2CDB" w:rsidRDefault="003D60C7">
      <w:r>
        <w:rPr>
          <w:noProof/>
          <w:lang w:eastAsia="es-ES"/>
        </w:rPr>
        <w:pict>
          <v:shape id="_x0000_s1034" type="#_x0000_t48" style="position:absolute;margin-left:644.7pt;margin-top:.6pt;width:78pt;height:57.75pt;z-index:251673600" adj="-14165,41797,-6411,3366,-1662,3366,-56949,26369" strokecolor="red" strokeweight="1pt">
            <v:fill opacity="52429f"/>
            <v:stroke startarrow="oval"/>
            <v:textbox inset="1.5mm,,1.5mm">
              <w:txbxContent>
                <w:p w:rsidR="00A90F32" w:rsidRPr="00720DA5" w:rsidRDefault="00A90F32" w:rsidP="00720DA5">
                  <w:r w:rsidRPr="00720DA5">
                    <w:t>Hacer coincidir con el vértic</w:t>
                  </w:r>
                  <w:r>
                    <w:t xml:space="preserve">e </w:t>
                  </w:r>
                  <w:r w:rsidRPr="00720DA5">
                    <w:t>del ángulo a medir</w:t>
                  </w:r>
                </w:p>
              </w:txbxContent>
            </v:textbox>
            <o:callout v:ext="edit" minusy="t"/>
          </v:shape>
        </w:pict>
      </w:r>
    </w:p>
    <w:p w:rsidR="001D2CDB" w:rsidRDefault="003D60C7">
      <w:r>
        <w:rPr>
          <w:noProof/>
          <w:lang w:eastAsia="es-ES"/>
        </w:rPr>
        <w:pict>
          <v:shape id="_x0000_s1032" type="#_x0000_t48" style="position:absolute;margin-left:92.55pt;margin-top:.35pt;width:195.75pt;height:69pt;z-index:251671552" adj="45793,21130,33948,2817,22262,2817,31724,32400" strokecolor="red" strokeweight="1pt">
            <v:stroke startarrow="oval"/>
            <v:textbox inset="1.5mm,,1.5mm">
              <w:txbxContent>
                <w:p w:rsidR="00A90F32" w:rsidRDefault="00A90F32" w:rsidP="00035C7A">
                  <w:pPr>
                    <w:spacing w:after="0"/>
                  </w:pPr>
                  <w:r w:rsidRPr="00035C7A">
                    <w:t>Transportador</w:t>
                  </w:r>
                  <w:r>
                    <w:t xml:space="preserve"> para medir ángulos Se puede a</w:t>
                  </w:r>
                  <w:r w:rsidRPr="00035C7A">
                    <w:t>rrastrar</w:t>
                  </w:r>
                  <w:r>
                    <w:t>.</w:t>
                  </w:r>
                </w:p>
                <w:p w:rsidR="00A90F32" w:rsidRDefault="00A90F32" w:rsidP="00035C7A">
                  <w:pPr>
                    <w:spacing w:after="0"/>
                  </w:pPr>
                  <w:r>
                    <w:t>Haciendo clic, el transportador gira 90</w:t>
                  </w:r>
                  <w:r w:rsidRPr="00035C7A">
                    <w:rPr>
                      <w:vertAlign w:val="superscript"/>
                    </w:rPr>
                    <w:t xml:space="preserve">0 </w:t>
                  </w:r>
                  <w:r>
                    <w:t>hacia la izquierda</w:t>
                  </w:r>
                </w:p>
                <w:p w:rsidR="00A90F32" w:rsidRPr="00035C7A" w:rsidRDefault="00A90F32" w:rsidP="00035C7A">
                  <w:pPr>
                    <w:spacing w:after="0"/>
                  </w:pPr>
                  <w:r>
                    <w:t>En el otro botón, girará hacia la derecha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9.9pt;margin-top:16.85pt;width:234.9pt;height:82.5pt;z-index:251672576" o:connectortype="straight" strokecolor="red" strokeweight="1pt">
            <v:stroke endarrow="oval" endarrowwidth="narrow" endarrowlength="short"/>
          </v:shape>
        </w:pict>
      </w:r>
    </w:p>
    <w:p w:rsidR="001D2CDB" w:rsidRDefault="001D2CDB"/>
    <w:p w:rsidR="001D2CDB" w:rsidRDefault="001D2CDB"/>
    <w:p w:rsidR="001D2CDB" w:rsidRDefault="001D2CDB"/>
    <w:p w:rsidR="001D2CDB" w:rsidRDefault="001D2CDB"/>
    <w:p w:rsidR="001D2CDB" w:rsidRDefault="001D2CDB"/>
    <w:p w:rsidR="001D2CDB" w:rsidRDefault="001D2CDB"/>
    <w:p w:rsidR="00FB0B23" w:rsidRDefault="00FB0B23">
      <w:pPr>
        <w:sectPr w:rsidR="00FB0B23" w:rsidSect="00BC3A54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1ADB" w:rsidRPr="006C1ADB" w:rsidRDefault="006C1ADB" w:rsidP="006C1ADB">
      <w:pPr>
        <w:pStyle w:val="NormalWeb"/>
        <w:spacing w:before="0" w:beforeAutospacing="0" w:after="120" w:afterAutospacing="0"/>
        <w:ind w:right="147"/>
        <w:jc w:val="both"/>
        <w:rPr>
          <w:rFonts w:ascii="Arial" w:hAnsi="Arial" w:cs="Arial"/>
        </w:rPr>
      </w:pPr>
      <w:r w:rsidRPr="006C1ADB">
        <w:rPr>
          <w:rFonts w:ascii="Arial" w:hAnsi="Arial" w:cs="Arial"/>
          <w:sz w:val="20"/>
          <w:szCs w:val="20"/>
        </w:rPr>
        <w:lastRenderedPageBreak/>
        <w:t xml:space="preserve">El índice de refracción mide </w:t>
      </w:r>
      <w:r w:rsidRPr="006C1ADB">
        <w:rPr>
          <w:rFonts w:ascii="Arial" w:hAnsi="Arial" w:cs="Arial"/>
          <w:b/>
          <w:i/>
          <w:sz w:val="20"/>
          <w:szCs w:val="20"/>
        </w:rPr>
        <w:t>la capacidad refractiva (</w:t>
      </w:r>
      <w:r w:rsidRPr="006C1ADB">
        <w:rPr>
          <w:rFonts w:ascii="Arial" w:hAnsi="Arial" w:cs="Arial"/>
          <w:sz w:val="20"/>
          <w:szCs w:val="20"/>
        </w:rPr>
        <w:t>para desviar la luz) de un medio. A mayor índice de refracción</w:t>
      </w:r>
      <w:r w:rsidR="00B50F24">
        <w:rPr>
          <w:rFonts w:ascii="Arial" w:hAnsi="Arial" w:cs="Arial"/>
          <w:sz w:val="20"/>
          <w:szCs w:val="20"/>
        </w:rPr>
        <w:t>,</w:t>
      </w:r>
      <w:r w:rsidRPr="006C1ADB">
        <w:rPr>
          <w:rFonts w:ascii="Arial" w:hAnsi="Arial" w:cs="Arial"/>
          <w:sz w:val="20"/>
          <w:szCs w:val="20"/>
        </w:rPr>
        <w:t xml:space="preserve"> mayor desviación sufre el rayo incidente al propagarse en el medio considerado.</w:t>
      </w:r>
    </w:p>
    <w:p w:rsidR="00B50F24" w:rsidRDefault="003D60C7" w:rsidP="006C1ADB">
      <w:pPr>
        <w:pStyle w:val="NormalWeb"/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95.5pt;margin-top:13.55pt;width:29.25pt;height:29.25pt;z-index:-251632640">
            <v:imagedata r:id="rId14" o:title=""/>
          </v:shape>
          <o:OLEObject Type="Embed" ProgID="Equation.DSMT4" ShapeID="_x0000_s1041" DrawAspect="Content" ObjectID="_1674968459" r:id="rId15"/>
        </w:pict>
      </w:r>
      <w:r w:rsidR="006C1ADB" w:rsidRPr="006C1ADB">
        <w:rPr>
          <w:rFonts w:ascii="Arial" w:hAnsi="Arial" w:cs="Arial"/>
          <w:b/>
          <w:i/>
          <w:sz w:val="20"/>
          <w:szCs w:val="20"/>
        </w:rPr>
        <w:t>Se define el índice de refracción</w:t>
      </w:r>
      <w:r w:rsidR="006C1ADB" w:rsidRPr="006C1ADB">
        <w:rPr>
          <w:rFonts w:ascii="Arial" w:hAnsi="Arial" w:cs="Arial"/>
          <w:sz w:val="20"/>
          <w:szCs w:val="20"/>
        </w:rPr>
        <w:t xml:space="preserve"> de un medio como el cociente entre la velocidad de la luz en el aire y en el propio medio.</w:t>
      </w:r>
    </w:p>
    <w:p w:rsidR="00B50F24" w:rsidRDefault="00B50F24" w:rsidP="006C1ADB">
      <w:pPr>
        <w:pStyle w:val="NormalWeb"/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C1ADB" w:rsidRDefault="006C1ADB" w:rsidP="007D1658">
      <w:pPr>
        <w:pStyle w:val="NormalWeb"/>
        <w:spacing w:before="0" w:beforeAutospacing="0" w:after="240" w:afterAutospacing="0"/>
        <w:ind w:right="147"/>
        <w:jc w:val="both"/>
        <w:rPr>
          <w:rFonts w:ascii="Arial" w:hAnsi="Arial" w:cs="Arial"/>
          <w:sz w:val="20"/>
          <w:szCs w:val="20"/>
        </w:rPr>
      </w:pPr>
      <w:r w:rsidRPr="006C1ADB">
        <w:rPr>
          <w:rFonts w:ascii="Arial" w:hAnsi="Arial" w:cs="Arial"/>
          <w:sz w:val="20"/>
          <w:szCs w:val="20"/>
        </w:rPr>
        <w:t xml:space="preserve"> La luz se pro</w:t>
      </w:r>
      <w:r>
        <w:rPr>
          <w:rFonts w:ascii="Arial" w:hAnsi="Arial" w:cs="Arial"/>
          <w:sz w:val="20"/>
          <w:szCs w:val="20"/>
        </w:rPr>
        <w:t>paga más lentamente, por tanto,</w:t>
      </w:r>
      <w:r w:rsidRPr="006C1ADB">
        <w:rPr>
          <w:rFonts w:ascii="Arial" w:hAnsi="Arial" w:cs="Arial"/>
          <w:sz w:val="20"/>
          <w:szCs w:val="20"/>
        </w:rPr>
        <w:t xml:space="preserve"> en medios que poseen un índice de refracción alto.</w:t>
      </w:r>
    </w:p>
    <w:p w:rsidR="00B50F24" w:rsidRDefault="00B50F24" w:rsidP="00B50F24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</w:p>
    <w:p w:rsidR="006C1ADB" w:rsidRPr="006C1ADB" w:rsidRDefault="006C1ADB" w:rsidP="00D339EF">
      <w:pPr>
        <w:pStyle w:val="NormalWeb"/>
        <w:numPr>
          <w:ilvl w:val="0"/>
          <w:numId w:val="33"/>
        </w:numPr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 w:rsidRPr="00D339EF">
        <w:rPr>
          <w:rFonts w:ascii="Arial" w:hAnsi="Arial" w:cs="Arial"/>
          <w:b/>
          <w:i/>
          <w:sz w:val="20"/>
          <w:szCs w:val="20"/>
        </w:rPr>
        <w:t>Seleccionamos una de las tres opciones</w:t>
      </w:r>
      <w:r w:rsidRPr="006C1ADB">
        <w:rPr>
          <w:rFonts w:ascii="Arial" w:hAnsi="Arial" w:cs="Arial"/>
          <w:sz w:val="20"/>
          <w:szCs w:val="20"/>
        </w:rPr>
        <w:t xml:space="preserve"> que se nos ofrecen (A</w:t>
      </w:r>
      <w:proofErr w:type="gramStart"/>
      <w:r w:rsidRPr="006C1ADB">
        <w:rPr>
          <w:rFonts w:ascii="Arial" w:hAnsi="Arial" w:cs="Arial"/>
          <w:sz w:val="20"/>
          <w:szCs w:val="20"/>
        </w:rPr>
        <w:t>,B</w:t>
      </w:r>
      <w:proofErr w:type="gramEnd"/>
      <w:r w:rsidRPr="006C1ADB">
        <w:rPr>
          <w:rFonts w:ascii="Arial" w:hAnsi="Arial" w:cs="Arial"/>
          <w:sz w:val="20"/>
          <w:szCs w:val="20"/>
        </w:rPr>
        <w:t xml:space="preserve"> y C). En este caso se ha s</w:t>
      </w:r>
      <w:r w:rsidRPr="006C1ADB">
        <w:rPr>
          <w:rFonts w:ascii="Arial" w:hAnsi="Arial" w:cs="Arial"/>
          <w:sz w:val="20"/>
          <w:szCs w:val="20"/>
        </w:rPr>
        <w:t>e</w:t>
      </w:r>
      <w:r w:rsidRPr="006C1ADB">
        <w:rPr>
          <w:rFonts w:ascii="Arial" w:hAnsi="Arial" w:cs="Arial"/>
          <w:sz w:val="20"/>
          <w:szCs w:val="20"/>
        </w:rPr>
        <w:t>leccionado la opción A.</w:t>
      </w:r>
    </w:p>
    <w:p w:rsidR="006C1ADB" w:rsidRPr="006C1ADB" w:rsidRDefault="007D1658" w:rsidP="00D339EF">
      <w:pPr>
        <w:pStyle w:val="NormalWeb"/>
        <w:numPr>
          <w:ilvl w:val="0"/>
          <w:numId w:val="33"/>
        </w:numPr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Haciendo clic en el botón que </w:t>
      </w:r>
      <w:r w:rsidR="006C1ADB" w:rsidRPr="00D339EF">
        <w:rPr>
          <w:rFonts w:ascii="Arial" w:hAnsi="Arial" w:cs="Arial"/>
          <w:b/>
          <w:i/>
          <w:sz w:val="20"/>
          <w:szCs w:val="20"/>
        </w:rPr>
        <w:t>aparece en el ángulo superior derecho del vidrio se genera un rayo</w:t>
      </w:r>
      <w:r w:rsidR="006C1ADB" w:rsidRPr="006C1ADB">
        <w:rPr>
          <w:rFonts w:ascii="Arial" w:hAnsi="Arial" w:cs="Arial"/>
          <w:sz w:val="20"/>
          <w:szCs w:val="20"/>
        </w:rPr>
        <w:t xml:space="preserve"> con un ángulo de incidencia (aleatorio) que sufre refracción en el cristal.</w:t>
      </w:r>
    </w:p>
    <w:p w:rsidR="006C1ADB" w:rsidRPr="006C1ADB" w:rsidRDefault="006C1ADB" w:rsidP="00D339EF">
      <w:pPr>
        <w:pStyle w:val="NormalWeb"/>
        <w:numPr>
          <w:ilvl w:val="0"/>
          <w:numId w:val="33"/>
        </w:numPr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 w:rsidRPr="00D339EF">
        <w:rPr>
          <w:rFonts w:ascii="Arial" w:hAnsi="Arial" w:cs="Arial"/>
          <w:b/>
          <w:i/>
          <w:sz w:val="20"/>
          <w:szCs w:val="20"/>
        </w:rPr>
        <w:t>Usamos el transportador para medir el ángulo de incidencia y el de refracción.</w:t>
      </w:r>
      <w:r w:rsidRPr="006C1ADB">
        <w:rPr>
          <w:rFonts w:ascii="Arial" w:hAnsi="Arial" w:cs="Arial"/>
          <w:sz w:val="20"/>
          <w:szCs w:val="20"/>
        </w:rPr>
        <w:t xml:space="preserve"> Para situar el transportador adecuadamente usar los botones de giro situados en su base.</w:t>
      </w:r>
    </w:p>
    <w:p w:rsidR="006C1ADB" w:rsidRDefault="006C1ADB" w:rsidP="00D339EF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 w:rsidRPr="006C1ADB">
        <w:rPr>
          <w:rFonts w:ascii="Arial" w:hAnsi="Arial" w:cs="Arial"/>
          <w:sz w:val="20"/>
          <w:szCs w:val="20"/>
        </w:rPr>
        <w:t>Es conveniente tomar ángulos de incidencia que no sean muy pequeños con el fin de minimizar errores.</w:t>
      </w:r>
    </w:p>
    <w:p w:rsidR="00D339EF" w:rsidRDefault="00D339EF" w:rsidP="00D339EF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 w:rsidRPr="00D339EF">
        <w:rPr>
          <w:rFonts w:ascii="Arial" w:hAnsi="Arial" w:cs="Arial"/>
          <w:sz w:val="20"/>
          <w:szCs w:val="20"/>
        </w:rPr>
        <w:t xml:space="preserve">Para medir cómodamente el ángulo </w:t>
      </w:r>
      <w:r w:rsidRPr="00D339EF">
        <w:rPr>
          <w:rFonts w:ascii="Arial" w:hAnsi="Arial" w:cs="Arial"/>
          <w:b/>
          <w:i/>
          <w:sz w:val="20"/>
          <w:szCs w:val="20"/>
        </w:rPr>
        <w:t>se puede ampliar la imagen</w:t>
      </w:r>
      <w:r w:rsidRPr="00D339EF">
        <w:rPr>
          <w:rFonts w:ascii="Arial" w:hAnsi="Arial" w:cs="Arial"/>
          <w:sz w:val="20"/>
          <w:szCs w:val="20"/>
        </w:rPr>
        <w:t xml:space="preserve"> haciendo: botón derecho&gt; A</w:t>
      </w:r>
      <w:r w:rsidRPr="00D339EF">
        <w:rPr>
          <w:rFonts w:ascii="Arial" w:hAnsi="Arial" w:cs="Arial"/>
          <w:sz w:val="20"/>
          <w:szCs w:val="20"/>
        </w:rPr>
        <w:t>m</w:t>
      </w:r>
      <w:r w:rsidRPr="00D339EF">
        <w:rPr>
          <w:rFonts w:ascii="Arial" w:hAnsi="Arial" w:cs="Arial"/>
          <w:sz w:val="20"/>
          <w:szCs w:val="20"/>
        </w:rPr>
        <w:t>pliar. Para volver al tamaño original: botón derecho&gt;Reducir</w:t>
      </w:r>
    </w:p>
    <w:p w:rsidR="007D1658" w:rsidRDefault="007D1658" w:rsidP="00D339EF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left:0;text-align:left;margin-left:361.8pt;margin-top:3.6pt;width:120pt;height:69.75pt;z-index:251677696" stroked="f">
            <v:textbox inset=".5mm,.3mm,.5mm,.3mm">
              <w:txbxContent>
                <w:p w:rsidR="00A90F32" w:rsidRDefault="00A90F32">
                  <w:r w:rsidRPr="00D339EF">
                    <w:rPr>
                      <w:b/>
                      <w:i/>
                    </w:rPr>
                    <w:t>Medida del ángulo de incidencia</w:t>
                  </w:r>
                  <w:r>
                    <w:t>. Arrastrar y pulsar en los botones para girar y colocar el transportador convenie</w:t>
                  </w:r>
                  <w:r>
                    <w:t>n</w:t>
                  </w:r>
                  <w:r>
                    <w:t>temente.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61595</wp:posOffset>
            </wp:positionV>
            <wp:extent cx="4089400" cy="2371725"/>
            <wp:effectExtent l="19050" t="0" r="6350" b="0"/>
            <wp:wrapNone/>
            <wp:docPr id="9" name="8 Imagen" descr="L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EF" w:rsidRDefault="00D339EF" w:rsidP="00D339EF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</w:p>
    <w:p w:rsidR="00D339EF" w:rsidRDefault="00D339EF" w:rsidP="006C1ADB">
      <w:pPr>
        <w:pStyle w:val="NormalWeb"/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D339EF" w:rsidRPr="006C1ADB" w:rsidRDefault="00D339EF" w:rsidP="006C1ADB">
      <w:pPr>
        <w:pStyle w:val="NormalWeb"/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D1658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348.3pt;margin-top:14.3pt;width:120pt;height:35.55pt;z-index:251681792" stroked="f">
            <v:fill opacity="58982f"/>
            <v:textbox inset=".5mm,.3mm,.5mm,.3mm">
              <w:txbxContent>
                <w:p w:rsidR="00A90F32" w:rsidRDefault="00A90F32" w:rsidP="00886B8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Imagen ampliada:</w:t>
                  </w:r>
                </w:p>
                <w:p w:rsidR="00A90F32" w:rsidRDefault="00A90F32" w:rsidP="00886B81">
                  <w:r>
                    <w:rPr>
                      <w:b/>
                      <w:i/>
                    </w:rPr>
                    <w:t>Botón derecho&gt;Ampliar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140970</wp:posOffset>
            </wp:positionV>
            <wp:extent cx="2276475" cy="1600200"/>
            <wp:effectExtent l="19050" t="19050" r="28575" b="19050"/>
            <wp:wrapNone/>
            <wp:docPr id="11" name="9 Imagen" descr="L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3D60C7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86.7pt;margin-top:11.25pt;width:103.85pt;height:17.1pt;rotation:900637fd;z-index:251680768" fillcolor="#f2f2f2 [3052]">
            <v:fill opacity="58982f"/>
          </v:shape>
        </w:pict>
      </w: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D1658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106045</wp:posOffset>
            </wp:positionV>
            <wp:extent cx="4030345" cy="2343150"/>
            <wp:effectExtent l="19050" t="0" r="8255" b="0"/>
            <wp:wrapNone/>
            <wp:docPr id="8" name="7 Imagen" descr="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0C7"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margin-left:360.3pt;margin-top:14.1pt;width:123pt;height:80.25pt;z-index:251678720;mso-position-horizontal-relative:text;mso-position-vertical-relative:text" stroked="f">
            <v:textbox inset=".5mm,.3mm,.5mm,.3mm">
              <w:txbxContent>
                <w:p w:rsidR="00A90F32" w:rsidRDefault="00A90F32" w:rsidP="00D339EF">
                  <w:r w:rsidRPr="00D339EF">
                    <w:rPr>
                      <w:b/>
                      <w:i/>
                    </w:rPr>
                    <w:t>Medida del ángulo</w:t>
                  </w:r>
                  <w:r w:rsidR="00313DEA">
                    <w:rPr>
                      <w:b/>
                      <w:i/>
                    </w:rPr>
                    <w:t xml:space="preserve"> de </w:t>
                  </w:r>
                  <w:r w:rsidRPr="00D339EF">
                    <w:rPr>
                      <w:b/>
                      <w:i/>
                    </w:rPr>
                    <w:t>refracción.</w:t>
                  </w:r>
                  <w:r>
                    <w:t xml:space="preserve"> Arrastrar y pulsar en los botones </w:t>
                  </w:r>
                  <w:r w:rsidR="00B50F24">
                    <w:t>s</w:t>
                  </w:r>
                  <w:r w:rsidR="00B50F24">
                    <w:t>i</w:t>
                  </w:r>
                  <w:r w:rsidR="00B50F24">
                    <w:t xml:space="preserve">tuados en el trasportador </w:t>
                  </w:r>
                  <w:r>
                    <w:t>para girar</w:t>
                  </w:r>
                  <w:r w:rsidR="006B67F6">
                    <w:t>lo</w:t>
                  </w:r>
                  <w:r>
                    <w:t xml:space="preserve"> y colocar</w:t>
                  </w:r>
                  <w:r w:rsidR="00B50F24">
                    <w:t>lo</w:t>
                  </w:r>
                  <w:r>
                    <w:t xml:space="preserve"> </w:t>
                  </w:r>
                  <w:r w:rsidR="00B50F24">
                    <w:t>en la posición adecuada.</w:t>
                  </w:r>
                </w:p>
              </w:txbxContent>
            </v:textbox>
          </v:shape>
        </w:pict>
      </w: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Pr="00E650F4" w:rsidRDefault="00E650F4" w:rsidP="007D1658">
      <w:pPr>
        <w:pStyle w:val="NormalWeb"/>
        <w:tabs>
          <w:tab w:val="left" w:pos="6096"/>
        </w:tabs>
        <w:spacing w:before="120" w:beforeAutospacing="0" w:after="120" w:afterAutospacing="0"/>
        <w:ind w:left="709" w:right="147"/>
        <w:jc w:val="both"/>
        <w:rPr>
          <w:rFonts w:ascii="Arial" w:hAnsi="Arial" w:cs="Arial"/>
          <w:sz w:val="20"/>
          <w:szCs w:val="20"/>
        </w:rPr>
      </w:pPr>
      <w:r w:rsidRPr="00E650F4">
        <w:rPr>
          <w:rFonts w:ascii="Arial" w:hAnsi="Arial" w:cs="Arial"/>
          <w:sz w:val="20"/>
          <w:szCs w:val="20"/>
        </w:rPr>
        <w:lastRenderedPageBreak/>
        <w:t>Los datos obtenidos</w:t>
      </w:r>
      <w:r w:rsidR="00B50F24">
        <w:rPr>
          <w:rFonts w:ascii="Arial" w:hAnsi="Arial" w:cs="Arial"/>
          <w:sz w:val="20"/>
          <w:szCs w:val="20"/>
        </w:rPr>
        <w:t xml:space="preserve"> en una experiencia para los </w:t>
      </w:r>
      <w:r w:rsidRPr="00E650F4">
        <w:rPr>
          <w:rFonts w:ascii="Arial" w:hAnsi="Arial" w:cs="Arial"/>
          <w:sz w:val="20"/>
          <w:szCs w:val="20"/>
        </w:rPr>
        <w:t xml:space="preserve"> ángulo</w:t>
      </w:r>
      <w:r w:rsidR="00B50F24">
        <w:rPr>
          <w:rFonts w:ascii="Arial" w:hAnsi="Arial" w:cs="Arial"/>
          <w:sz w:val="20"/>
          <w:szCs w:val="20"/>
        </w:rPr>
        <w:t>s</w:t>
      </w:r>
      <w:r w:rsidRPr="00E650F4">
        <w:rPr>
          <w:rFonts w:ascii="Arial" w:hAnsi="Arial" w:cs="Arial"/>
          <w:sz w:val="20"/>
          <w:szCs w:val="20"/>
        </w:rPr>
        <w:t xml:space="preserve"> de incidencia y </w:t>
      </w:r>
      <w:r w:rsidR="00B50F24">
        <w:rPr>
          <w:rFonts w:ascii="Arial" w:hAnsi="Arial" w:cs="Arial"/>
          <w:sz w:val="20"/>
          <w:szCs w:val="20"/>
        </w:rPr>
        <w:t xml:space="preserve">refracción, </w:t>
      </w:r>
      <w:r w:rsidRPr="00E650F4">
        <w:rPr>
          <w:rFonts w:ascii="Arial" w:hAnsi="Arial" w:cs="Arial"/>
          <w:sz w:val="20"/>
          <w:szCs w:val="20"/>
        </w:rPr>
        <w:t>se muestran en la tabla adjunta:</w:t>
      </w:r>
    </w:p>
    <w:p w:rsidR="00E650F4" w:rsidRPr="00720DA5" w:rsidRDefault="00E650F4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266" w:type="dxa"/>
        <w:jc w:val="center"/>
        <w:tblLook w:val="04A0"/>
      </w:tblPr>
      <w:tblGrid>
        <w:gridCol w:w="1633"/>
        <w:gridCol w:w="1633"/>
      </w:tblGrid>
      <w:tr w:rsidR="00A90F32" w:rsidRPr="00A645B2" w:rsidTr="00A90F32">
        <w:trPr>
          <w:trHeight w:val="481"/>
          <w:jc w:val="center"/>
        </w:trPr>
        <w:tc>
          <w:tcPr>
            <w:tcW w:w="1633" w:type="dxa"/>
            <w:shd w:val="pct10" w:color="auto" w:fill="auto"/>
            <w:vAlign w:val="center"/>
          </w:tcPr>
          <w:p w:rsidR="00A90F32" w:rsidRPr="00A90F32" w:rsidRDefault="00A90F32" w:rsidP="00A90F32">
            <w:pPr>
              <w:pStyle w:val="NormalWeb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i (gra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90F32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1633" w:type="dxa"/>
            <w:shd w:val="pct10" w:color="auto" w:fill="auto"/>
            <w:vAlign w:val="center"/>
          </w:tcPr>
          <w:p w:rsidR="00A90F32" w:rsidRPr="00A90F32" w:rsidRDefault="00A90F32" w:rsidP="00A90F32">
            <w:pPr>
              <w:pStyle w:val="NormalWeb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r (grados)</w:t>
            </w:r>
          </w:p>
        </w:tc>
      </w:tr>
      <w:tr w:rsidR="00A90F32" w:rsidTr="00A90F32">
        <w:trPr>
          <w:trHeight w:val="481"/>
          <w:jc w:val="center"/>
        </w:trPr>
        <w:tc>
          <w:tcPr>
            <w:tcW w:w="1633" w:type="dxa"/>
            <w:vAlign w:val="center"/>
          </w:tcPr>
          <w:p w:rsidR="00A90F32" w:rsidRPr="00A90F32" w:rsidRDefault="00A90F32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33" w:type="dxa"/>
            <w:vAlign w:val="center"/>
          </w:tcPr>
          <w:p w:rsidR="00A90F32" w:rsidRPr="00A90F32" w:rsidRDefault="00A90F32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A90F32" w:rsidTr="00A90F32">
        <w:trPr>
          <w:trHeight w:val="481"/>
          <w:jc w:val="center"/>
        </w:trPr>
        <w:tc>
          <w:tcPr>
            <w:tcW w:w="1633" w:type="dxa"/>
            <w:vAlign w:val="center"/>
          </w:tcPr>
          <w:p w:rsidR="00A90F32" w:rsidRPr="00A90F32" w:rsidRDefault="00A90F32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33" w:type="dxa"/>
            <w:vAlign w:val="center"/>
          </w:tcPr>
          <w:p w:rsidR="00A90F32" w:rsidRPr="00A90F32" w:rsidRDefault="00A90F32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90F32" w:rsidTr="00A90F32">
        <w:trPr>
          <w:trHeight w:val="481"/>
          <w:jc w:val="center"/>
        </w:trPr>
        <w:tc>
          <w:tcPr>
            <w:tcW w:w="1633" w:type="dxa"/>
            <w:vAlign w:val="center"/>
          </w:tcPr>
          <w:p w:rsidR="00A90F32" w:rsidRPr="00A90F32" w:rsidRDefault="00A90F32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33" w:type="dxa"/>
            <w:vAlign w:val="center"/>
          </w:tcPr>
          <w:p w:rsidR="00A90F32" w:rsidRPr="00A90F32" w:rsidRDefault="00A90F32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650F4" w:rsidTr="00A90F32">
        <w:trPr>
          <w:trHeight w:val="481"/>
          <w:jc w:val="center"/>
        </w:trPr>
        <w:tc>
          <w:tcPr>
            <w:tcW w:w="1633" w:type="dxa"/>
            <w:vAlign w:val="center"/>
          </w:tcPr>
          <w:p w:rsidR="00E650F4" w:rsidRPr="00E650F4" w:rsidRDefault="00E650F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3" w:type="dxa"/>
            <w:vAlign w:val="center"/>
          </w:tcPr>
          <w:p w:rsidR="00E650F4" w:rsidRPr="00E650F4" w:rsidRDefault="00E650F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650F4" w:rsidTr="00A90F32">
        <w:trPr>
          <w:trHeight w:val="481"/>
          <w:jc w:val="center"/>
        </w:trPr>
        <w:tc>
          <w:tcPr>
            <w:tcW w:w="1633" w:type="dxa"/>
            <w:vAlign w:val="center"/>
          </w:tcPr>
          <w:p w:rsidR="00E650F4" w:rsidRPr="00E650F4" w:rsidRDefault="00E650F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33" w:type="dxa"/>
            <w:vAlign w:val="center"/>
          </w:tcPr>
          <w:p w:rsidR="00E650F4" w:rsidRPr="00E650F4" w:rsidRDefault="00E650F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720DA5" w:rsidRP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720DA5" w:rsidRDefault="00B50F24" w:rsidP="007D1658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Aplicando la ley de </w:t>
      </w:r>
      <w:proofErr w:type="spellStart"/>
      <w:r>
        <w:rPr>
          <w:rFonts w:ascii="Arial" w:hAnsi="Arial" w:cs="Arial"/>
          <w:sz w:val="20"/>
          <w:szCs w:val="20"/>
        </w:rPr>
        <w:t>Snell</w:t>
      </w:r>
      <w:proofErr w:type="spellEnd"/>
      <w:r>
        <w:rPr>
          <w:rFonts w:ascii="Arial" w:hAnsi="Arial" w:cs="Arial"/>
          <w:sz w:val="20"/>
          <w:szCs w:val="20"/>
        </w:rPr>
        <w:t xml:space="preserve"> determinamos el valor del índice de refracción para cada par de valores:</w:t>
      </w:r>
    </w:p>
    <w:p w:rsidR="00976DFD" w:rsidRDefault="003D60C7" w:rsidP="00B50F24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2" type="#_x0000_t75" style="position:absolute;left:0;text-align:left;margin-left:143.45pt;margin-top:5.55pt;width:192.75pt;height:35.25pt;z-index:251685888">
            <v:imagedata r:id="rId19" o:title=""/>
          </v:shape>
          <o:OLEObject Type="Embed" ProgID="Equation.DSMT4" ShapeID="_x0000_s1042" DrawAspect="Content" ObjectID="_1674968460" r:id="rId20"/>
        </w:pict>
      </w:r>
      <w:r w:rsidR="00976DFD">
        <w:rPr>
          <w:rFonts w:ascii="Arial" w:hAnsi="Arial" w:cs="Arial"/>
          <w:sz w:val="20"/>
          <w:szCs w:val="20"/>
        </w:rPr>
        <w:t xml:space="preserve"> </w:t>
      </w:r>
    </w:p>
    <w:p w:rsidR="00976DFD" w:rsidRDefault="00976DFD" w:rsidP="00B50F24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976DFD" w:rsidRDefault="00976DFD" w:rsidP="00B50F24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262" w:type="dxa"/>
        <w:jc w:val="center"/>
        <w:tblLook w:val="04A0"/>
      </w:tblPr>
      <w:tblGrid>
        <w:gridCol w:w="1275"/>
        <w:gridCol w:w="1275"/>
        <w:gridCol w:w="1356"/>
        <w:gridCol w:w="1356"/>
      </w:tblGrid>
      <w:tr w:rsidR="00EA0DDC" w:rsidRPr="00A645B2" w:rsidTr="00735544">
        <w:trPr>
          <w:trHeight w:val="491"/>
          <w:jc w:val="center"/>
        </w:trPr>
        <w:tc>
          <w:tcPr>
            <w:tcW w:w="1275" w:type="dxa"/>
            <w:shd w:val="pct10" w:color="auto" w:fill="auto"/>
            <w:vAlign w:val="center"/>
          </w:tcPr>
          <w:p w:rsidR="00EA0DDC" w:rsidRPr="00735544" w:rsidRDefault="00EA0DDC" w:rsidP="00510CA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i (grados)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A0DDC" w:rsidRPr="00735544" w:rsidRDefault="00EA0DDC" w:rsidP="00510CA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r (grados)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EA0DDC" w:rsidRPr="00735544" w:rsidRDefault="00EA0DDC" w:rsidP="00976DF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EA0DDC" w:rsidRPr="00735544" w:rsidRDefault="00EA0DDC" w:rsidP="00735544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5544">
              <w:rPr>
                <w:rFonts w:ascii="Arial" w:hAnsi="Arial" w:cs="Arial"/>
                <w:b/>
                <w:sz w:val="20"/>
                <w:szCs w:val="20"/>
              </w:rPr>
              <w:t>Ea</w:t>
            </w:r>
            <w:proofErr w:type="spellEnd"/>
          </w:p>
        </w:tc>
      </w:tr>
      <w:tr w:rsidR="00EA0DDC" w:rsidTr="00735544">
        <w:trPr>
          <w:trHeight w:val="491"/>
          <w:jc w:val="center"/>
        </w:trPr>
        <w:tc>
          <w:tcPr>
            <w:tcW w:w="1275" w:type="dxa"/>
            <w:vAlign w:val="center"/>
          </w:tcPr>
          <w:p w:rsidR="00EA0DDC" w:rsidRPr="00A90F32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center"/>
          </w:tcPr>
          <w:p w:rsidR="00EA0DDC" w:rsidRPr="00A90F32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56" w:type="dxa"/>
            <w:vAlign w:val="center"/>
          </w:tcPr>
          <w:p w:rsidR="00EA0DDC" w:rsidRPr="00A90F32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356" w:type="dxa"/>
            <w:vAlign w:val="center"/>
          </w:tcPr>
          <w:p w:rsidR="00EA0DDC" w:rsidRDefault="00735544" w:rsidP="0073554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EA0DDC" w:rsidTr="00735544">
        <w:trPr>
          <w:trHeight w:val="491"/>
          <w:jc w:val="center"/>
        </w:trPr>
        <w:tc>
          <w:tcPr>
            <w:tcW w:w="1275" w:type="dxa"/>
            <w:vAlign w:val="center"/>
          </w:tcPr>
          <w:p w:rsidR="00EA0DDC" w:rsidRPr="00A90F32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center"/>
          </w:tcPr>
          <w:p w:rsidR="00EA0DDC" w:rsidRPr="00A90F32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6" w:type="dxa"/>
            <w:vAlign w:val="center"/>
          </w:tcPr>
          <w:p w:rsidR="00EA0DDC" w:rsidRPr="00A90F32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356" w:type="dxa"/>
            <w:vAlign w:val="center"/>
          </w:tcPr>
          <w:p w:rsidR="00EA0DDC" w:rsidRDefault="00735544" w:rsidP="0073554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EA0DDC" w:rsidTr="00735544">
        <w:trPr>
          <w:trHeight w:val="491"/>
          <w:jc w:val="center"/>
        </w:trPr>
        <w:tc>
          <w:tcPr>
            <w:tcW w:w="1275" w:type="dxa"/>
            <w:vAlign w:val="center"/>
          </w:tcPr>
          <w:p w:rsidR="00EA0DDC" w:rsidRPr="00A90F32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EA0DDC" w:rsidRPr="00A90F32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6" w:type="dxa"/>
            <w:vAlign w:val="center"/>
          </w:tcPr>
          <w:p w:rsidR="00EA0DDC" w:rsidRPr="00A90F32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356" w:type="dxa"/>
            <w:vAlign w:val="center"/>
          </w:tcPr>
          <w:p w:rsidR="00EA0DDC" w:rsidRDefault="00735544" w:rsidP="0073554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EA0DDC" w:rsidTr="00735544">
        <w:trPr>
          <w:trHeight w:val="491"/>
          <w:jc w:val="center"/>
        </w:trPr>
        <w:tc>
          <w:tcPr>
            <w:tcW w:w="1275" w:type="dxa"/>
            <w:vAlign w:val="center"/>
          </w:tcPr>
          <w:p w:rsidR="00EA0DDC" w:rsidRPr="00E650F4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EA0DDC" w:rsidRPr="00E650F4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6" w:type="dxa"/>
            <w:vAlign w:val="center"/>
          </w:tcPr>
          <w:p w:rsidR="00EA0DDC" w:rsidRPr="00E650F4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1356" w:type="dxa"/>
            <w:vAlign w:val="center"/>
          </w:tcPr>
          <w:p w:rsidR="00EA0DDC" w:rsidRDefault="00735544" w:rsidP="0073554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EA0DDC" w:rsidTr="00735544">
        <w:trPr>
          <w:trHeight w:val="491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0DDC" w:rsidRPr="00E650F4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0DDC" w:rsidRPr="00E650F4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F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EA0DDC" w:rsidRPr="00E650F4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356" w:type="dxa"/>
            <w:vAlign w:val="center"/>
          </w:tcPr>
          <w:p w:rsidR="00EA0DDC" w:rsidRDefault="00735544" w:rsidP="00735544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EA0DDC" w:rsidTr="00735544">
        <w:trPr>
          <w:trHeight w:val="491"/>
          <w:jc w:val="center"/>
        </w:trPr>
        <w:tc>
          <w:tcPr>
            <w:tcW w:w="2550" w:type="dxa"/>
            <w:gridSpan w:val="2"/>
            <w:shd w:val="pct10" w:color="auto" w:fill="auto"/>
            <w:vAlign w:val="center"/>
          </w:tcPr>
          <w:p w:rsidR="00EA0DDC" w:rsidRPr="00735544" w:rsidRDefault="00EA0DDC" w:rsidP="00510CAE">
            <w:pPr>
              <w:pStyle w:val="NormalWeb"/>
              <w:ind w:left="3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EA0DDC" w:rsidRPr="00735544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356" w:type="dxa"/>
            <w:shd w:val="pct10" w:color="auto" w:fill="auto"/>
          </w:tcPr>
          <w:p w:rsidR="00EA0DDC" w:rsidRDefault="00EA0DDC" w:rsidP="00976DFD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F24" w:rsidRDefault="00B50F24" w:rsidP="00B50F24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976DFD" w:rsidRDefault="00976DFD" w:rsidP="00976DFD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 w:rsidRPr="00976DFD">
        <w:rPr>
          <w:rFonts w:ascii="Arial" w:hAnsi="Arial" w:cs="Arial"/>
          <w:sz w:val="20"/>
          <w:szCs w:val="20"/>
        </w:rPr>
        <w:t xml:space="preserve">Para calcular el error se considera como valor verdadero la media de los valores obtenidos y se </w:t>
      </w:r>
      <w:r w:rsidRPr="00976DFD">
        <w:rPr>
          <w:rFonts w:ascii="Arial" w:hAnsi="Arial" w:cs="Arial"/>
          <w:b/>
          <w:i/>
          <w:sz w:val="20"/>
          <w:szCs w:val="20"/>
        </w:rPr>
        <w:t>determina el error relativo máximo</w:t>
      </w:r>
      <w:r w:rsidRPr="00976DFD">
        <w:rPr>
          <w:rFonts w:ascii="Arial" w:hAnsi="Arial" w:cs="Arial"/>
          <w:sz w:val="20"/>
          <w:szCs w:val="20"/>
        </w:rPr>
        <w:t xml:space="preserve"> de todas las medidas realizadas (error relativo de la medida que más se desvía de la media):</w:t>
      </w:r>
    </w:p>
    <w:p w:rsidR="00976DFD" w:rsidRDefault="003D60C7" w:rsidP="00B50F24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75" style="position:absolute;left:0;text-align:left;margin-left:112.7pt;margin-top:.3pt;width:157.65pt;height:33.75pt;z-index:251687936">
            <v:imagedata r:id="rId21" o:title=""/>
          </v:shape>
          <o:OLEObject Type="Embed" ProgID="Equation.DSMT4" ShapeID="_x0000_s1043" DrawAspect="Content" ObjectID="_1674968461" r:id="rId22"/>
        </w:pict>
      </w:r>
      <w:r w:rsidR="00976DFD">
        <w:rPr>
          <w:rFonts w:ascii="Arial" w:hAnsi="Arial" w:cs="Arial"/>
          <w:sz w:val="20"/>
          <w:szCs w:val="20"/>
        </w:rPr>
        <w:t xml:space="preserve"> </w:t>
      </w:r>
    </w:p>
    <w:p w:rsidR="00976DFD" w:rsidRPr="00720DA5" w:rsidRDefault="00976DFD" w:rsidP="00B50F24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976DFD" w:rsidRPr="00976DFD" w:rsidRDefault="003D60C7" w:rsidP="00976DFD">
      <w:pPr>
        <w:pStyle w:val="NormalWeb"/>
        <w:shd w:val="clear" w:color="auto" w:fill="FFFFFF"/>
        <w:ind w:left="708" w:right="450"/>
        <w:rPr>
          <w:rFonts w:ascii="Arial" w:hAnsi="Arial" w:cs="Arial"/>
          <w:color w:val="000000"/>
          <w:sz w:val="27"/>
          <w:szCs w:val="27"/>
        </w:rPr>
      </w:pPr>
      <w:r w:rsidRPr="003D60C7">
        <w:rPr>
          <w:rFonts w:ascii="Arial" w:hAnsi="Arial" w:cs="Arial"/>
          <w:noProof/>
          <w:sz w:val="20"/>
          <w:szCs w:val="20"/>
        </w:rPr>
        <w:pict>
          <v:shape id="_x0000_s1044" type="#_x0000_t75" style="position:absolute;left:0;text-align:left;margin-left:143.45pt;margin-top:29.05pt;width:119.25pt;height:15.75pt;z-index:251689984">
            <v:imagedata r:id="rId23" o:title=""/>
          </v:shape>
          <o:OLEObject Type="Embed" ProgID="Equation.DSMT4" ShapeID="_x0000_s1044" DrawAspect="Content" ObjectID="_1674968462" r:id="rId24"/>
        </w:pict>
      </w:r>
      <w:r w:rsidR="00976DFD" w:rsidRPr="00976DFD">
        <w:rPr>
          <w:rFonts w:ascii="Arial" w:hAnsi="Arial" w:cs="Arial"/>
          <w:color w:val="000000"/>
          <w:sz w:val="20"/>
          <w:szCs w:val="20"/>
        </w:rPr>
        <w:t>El resultado final se puede expresar pues en la forma:</w:t>
      </w:r>
    </w:p>
    <w:p w:rsidR="00720DA5" w:rsidRDefault="00720DA5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EA0DDC" w:rsidRDefault="00EA0DDC" w:rsidP="00EA0DDC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otras formas de expresar la medida ver: </w:t>
      </w:r>
    </w:p>
    <w:p w:rsidR="00EA0DDC" w:rsidRDefault="003D60C7" w:rsidP="00EA0DDC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hyperlink r:id="rId25" w:history="1">
        <w:r w:rsidR="00EA0DDC" w:rsidRPr="007021C0">
          <w:rPr>
            <w:rStyle w:val="Hipervnculo"/>
            <w:rFonts w:ascii="Arial" w:hAnsi="Arial" w:cs="Arial"/>
            <w:sz w:val="20"/>
            <w:szCs w:val="20"/>
          </w:rPr>
          <w:t>https://fisquiweb.es/Apuntes/Apuntes2Fis/CifrasErrores.pdf</w:t>
        </w:r>
      </w:hyperlink>
    </w:p>
    <w:p w:rsidR="00EA0DDC" w:rsidRDefault="00EA0DDC" w:rsidP="00EA0DDC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EA0DDC" w:rsidRDefault="00EA0DDC" w:rsidP="006C1AD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sectPr w:rsidR="00EA0DDC" w:rsidSect="00FB0B23">
      <w:head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6D" w:rsidRDefault="00266F6D" w:rsidP="00FB0B23">
      <w:pPr>
        <w:spacing w:after="0"/>
      </w:pPr>
      <w:r>
        <w:separator/>
      </w:r>
    </w:p>
  </w:endnote>
  <w:endnote w:type="continuationSeparator" w:id="0">
    <w:p w:rsidR="00266F6D" w:rsidRDefault="00266F6D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A90F32" w:rsidRDefault="003D60C7">
        <w:pPr>
          <w:pStyle w:val="Piedepgina"/>
          <w:jc w:val="right"/>
        </w:pPr>
        <w:fldSimple w:instr=" PAGE   \* MERGEFORMAT ">
          <w:r w:rsidR="007D1658">
            <w:rPr>
              <w:noProof/>
            </w:rPr>
            <w:t>3</w:t>
          </w:r>
        </w:fldSimple>
      </w:p>
    </w:sdtContent>
  </w:sdt>
  <w:p w:rsidR="00A90F32" w:rsidRDefault="00A90F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6D" w:rsidRDefault="00266F6D" w:rsidP="00FB0B23">
      <w:pPr>
        <w:spacing w:after="0"/>
      </w:pPr>
      <w:r>
        <w:separator/>
      </w:r>
    </w:p>
  </w:footnote>
  <w:footnote w:type="continuationSeparator" w:id="0">
    <w:p w:rsidR="00266F6D" w:rsidRDefault="00266F6D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A90F32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90F32" w:rsidRDefault="00A90F32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D60C7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74968463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90F32" w:rsidRDefault="00A90F32" w:rsidP="001B456A">
          <w:pPr>
            <w:jc w:val="center"/>
            <w:rPr>
              <w:b/>
            </w:rPr>
          </w:pPr>
          <w:r>
            <w:rPr>
              <w:b/>
            </w:rPr>
            <w:t>Determinación del índice de refacción de un vidrio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90F32" w:rsidRDefault="00A90F32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:rsidR="00A90F32" w:rsidRDefault="00A90F32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A90F32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A90F32" w:rsidRDefault="00A90F32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D60C7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4968464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A90F32" w:rsidRDefault="00A90F32" w:rsidP="00831F18">
          <w:pPr>
            <w:jc w:val="center"/>
            <w:rPr>
              <w:b/>
            </w:rPr>
          </w:pPr>
          <w:r>
            <w:rPr>
              <w:b/>
            </w:rPr>
            <w:t>Determinación del índice de refracción de un vidrio</w:t>
          </w:r>
        </w:p>
      </w:tc>
      <w:tc>
        <w:tcPr>
          <w:tcW w:w="2575" w:type="dxa"/>
          <w:shd w:val="clear" w:color="auto" w:fill="auto"/>
          <w:vAlign w:val="center"/>
        </w:tcPr>
        <w:p w:rsidR="00A90F32" w:rsidRDefault="00A90F32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A90F32" w:rsidRDefault="00A90F32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56F4935"/>
    <w:multiLevelType w:val="hybridMultilevel"/>
    <w:tmpl w:val="54CA5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D20DA"/>
    <w:multiLevelType w:val="hybridMultilevel"/>
    <w:tmpl w:val="18B2B8D8"/>
    <w:lvl w:ilvl="0" w:tplc="054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7"/>
  </w:num>
  <w:num w:numId="5">
    <w:abstractNumId w:val="31"/>
  </w:num>
  <w:num w:numId="6">
    <w:abstractNumId w:val="2"/>
  </w:num>
  <w:num w:numId="7">
    <w:abstractNumId w:val="1"/>
  </w:num>
  <w:num w:numId="8">
    <w:abstractNumId w:val="28"/>
  </w:num>
  <w:num w:numId="9">
    <w:abstractNumId w:val="9"/>
  </w:num>
  <w:num w:numId="10">
    <w:abstractNumId w:val="22"/>
  </w:num>
  <w:num w:numId="11">
    <w:abstractNumId w:val="20"/>
  </w:num>
  <w:num w:numId="12">
    <w:abstractNumId w:val="25"/>
  </w:num>
  <w:num w:numId="13">
    <w:abstractNumId w:val="18"/>
  </w:num>
  <w:num w:numId="14">
    <w:abstractNumId w:val="6"/>
  </w:num>
  <w:num w:numId="15">
    <w:abstractNumId w:val="30"/>
  </w:num>
  <w:num w:numId="16">
    <w:abstractNumId w:val="5"/>
  </w:num>
  <w:num w:numId="17">
    <w:abstractNumId w:val="23"/>
  </w:num>
  <w:num w:numId="18">
    <w:abstractNumId w:val="7"/>
  </w:num>
  <w:num w:numId="19">
    <w:abstractNumId w:val="29"/>
  </w:num>
  <w:num w:numId="20">
    <w:abstractNumId w:val="26"/>
  </w:num>
  <w:num w:numId="21">
    <w:abstractNumId w:val="15"/>
  </w:num>
  <w:num w:numId="22">
    <w:abstractNumId w:val="3"/>
  </w:num>
  <w:num w:numId="23">
    <w:abstractNumId w:val="16"/>
  </w:num>
  <w:num w:numId="24">
    <w:abstractNumId w:val="12"/>
  </w:num>
  <w:num w:numId="25">
    <w:abstractNumId w:val="21"/>
  </w:num>
  <w:num w:numId="26">
    <w:abstractNumId w:val="13"/>
  </w:num>
  <w:num w:numId="27">
    <w:abstractNumId w:val="32"/>
  </w:num>
  <w:num w:numId="28">
    <w:abstractNumId w:val="0"/>
  </w:num>
  <w:num w:numId="29">
    <w:abstractNumId w:val="24"/>
  </w:num>
  <w:num w:numId="30">
    <w:abstractNumId w:val="4"/>
  </w:num>
  <w:num w:numId="31">
    <w:abstractNumId w:val="27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66A2"/>
    <w:rsid w:val="00015305"/>
    <w:rsid w:val="0002626F"/>
    <w:rsid w:val="00035C7A"/>
    <w:rsid w:val="00054444"/>
    <w:rsid w:val="00054E28"/>
    <w:rsid w:val="00066FBD"/>
    <w:rsid w:val="00067598"/>
    <w:rsid w:val="00082595"/>
    <w:rsid w:val="00083092"/>
    <w:rsid w:val="000D59C7"/>
    <w:rsid w:val="000E7D44"/>
    <w:rsid w:val="000F11F4"/>
    <w:rsid w:val="000F3F88"/>
    <w:rsid w:val="00106DBE"/>
    <w:rsid w:val="00146C6F"/>
    <w:rsid w:val="00173C58"/>
    <w:rsid w:val="001805F1"/>
    <w:rsid w:val="00194576"/>
    <w:rsid w:val="001B456A"/>
    <w:rsid w:val="001D1C23"/>
    <w:rsid w:val="001D2CDB"/>
    <w:rsid w:val="00212CED"/>
    <w:rsid w:val="0022725A"/>
    <w:rsid w:val="00266F6D"/>
    <w:rsid w:val="0028778B"/>
    <w:rsid w:val="002A155A"/>
    <w:rsid w:val="002A2604"/>
    <w:rsid w:val="002B25B4"/>
    <w:rsid w:val="00313DEA"/>
    <w:rsid w:val="003173E6"/>
    <w:rsid w:val="00346C18"/>
    <w:rsid w:val="003602E8"/>
    <w:rsid w:val="00360792"/>
    <w:rsid w:val="003620CA"/>
    <w:rsid w:val="00372103"/>
    <w:rsid w:val="00394DA2"/>
    <w:rsid w:val="003D5421"/>
    <w:rsid w:val="003D60C7"/>
    <w:rsid w:val="003E394F"/>
    <w:rsid w:val="0040072A"/>
    <w:rsid w:val="00413784"/>
    <w:rsid w:val="0041435F"/>
    <w:rsid w:val="00434CAB"/>
    <w:rsid w:val="00444E9F"/>
    <w:rsid w:val="00487833"/>
    <w:rsid w:val="004A7489"/>
    <w:rsid w:val="004C6372"/>
    <w:rsid w:val="004D3521"/>
    <w:rsid w:val="004F0FDF"/>
    <w:rsid w:val="004F6E31"/>
    <w:rsid w:val="00541FE4"/>
    <w:rsid w:val="00542EC8"/>
    <w:rsid w:val="00547F78"/>
    <w:rsid w:val="00552783"/>
    <w:rsid w:val="00552861"/>
    <w:rsid w:val="005914AE"/>
    <w:rsid w:val="005A4DCE"/>
    <w:rsid w:val="005C22BA"/>
    <w:rsid w:val="005C4259"/>
    <w:rsid w:val="005F2447"/>
    <w:rsid w:val="005F3F6E"/>
    <w:rsid w:val="005F5D61"/>
    <w:rsid w:val="00611A7C"/>
    <w:rsid w:val="00636CA8"/>
    <w:rsid w:val="00661F9F"/>
    <w:rsid w:val="006751FD"/>
    <w:rsid w:val="006B67F6"/>
    <w:rsid w:val="006B6F1C"/>
    <w:rsid w:val="006C1ADB"/>
    <w:rsid w:val="006C6605"/>
    <w:rsid w:val="006D5D5A"/>
    <w:rsid w:val="006F39DC"/>
    <w:rsid w:val="00720DA5"/>
    <w:rsid w:val="007221E8"/>
    <w:rsid w:val="007339B3"/>
    <w:rsid w:val="00735544"/>
    <w:rsid w:val="00747F4F"/>
    <w:rsid w:val="00752033"/>
    <w:rsid w:val="007648FE"/>
    <w:rsid w:val="007856B6"/>
    <w:rsid w:val="007D1658"/>
    <w:rsid w:val="00806529"/>
    <w:rsid w:val="00816638"/>
    <w:rsid w:val="008209E4"/>
    <w:rsid w:val="00831F18"/>
    <w:rsid w:val="008326C3"/>
    <w:rsid w:val="00833350"/>
    <w:rsid w:val="008463FC"/>
    <w:rsid w:val="008541A2"/>
    <w:rsid w:val="008563E3"/>
    <w:rsid w:val="00867EDA"/>
    <w:rsid w:val="008705A6"/>
    <w:rsid w:val="00881027"/>
    <w:rsid w:val="00881443"/>
    <w:rsid w:val="00886B81"/>
    <w:rsid w:val="00894201"/>
    <w:rsid w:val="008D1FFC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38F"/>
    <w:rsid w:val="00975AF4"/>
    <w:rsid w:val="00976DFD"/>
    <w:rsid w:val="0098108B"/>
    <w:rsid w:val="009972D0"/>
    <w:rsid w:val="009A425B"/>
    <w:rsid w:val="009C10EC"/>
    <w:rsid w:val="009D5EF8"/>
    <w:rsid w:val="00A33E3A"/>
    <w:rsid w:val="00A417C7"/>
    <w:rsid w:val="00A42AE1"/>
    <w:rsid w:val="00A42B9C"/>
    <w:rsid w:val="00A52429"/>
    <w:rsid w:val="00A67775"/>
    <w:rsid w:val="00A71001"/>
    <w:rsid w:val="00A74B71"/>
    <w:rsid w:val="00A77C8C"/>
    <w:rsid w:val="00A83205"/>
    <w:rsid w:val="00A871C2"/>
    <w:rsid w:val="00A90F32"/>
    <w:rsid w:val="00A93F3C"/>
    <w:rsid w:val="00A9740A"/>
    <w:rsid w:val="00AA17BE"/>
    <w:rsid w:val="00AB1DFE"/>
    <w:rsid w:val="00AB1F06"/>
    <w:rsid w:val="00AC7F6F"/>
    <w:rsid w:val="00AD1249"/>
    <w:rsid w:val="00AD3693"/>
    <w:rsid w:val="00AD65A9"/>
    <w:rsid w:val="00B14050"/>
    <w:rsid w:val="00B3702D"/>
    <w:rsid w:val="00B50F24"/>
    <w:rsid w:val="00B57F94"/>
    <w:rsid w:val="00B74EB9"/>
    <w:rsid w:val="00BB5924"/>
    <w:rsid w:val="00BC3A54"/>
    <w:rsid w:val="00BC69D2"/>
    <w:rsid w:val="00C5416C"/>
    <w:rsid w:val="00C6578C"/>
    <w:rsid w:val="00C6777A"/>
    <w:rsid w:val="00C860AD"/>
    <w:rsid w:val="00C8769A"/>
    <w:rsid w:val="00CD48E9"/>
    <w:rsid w:val="00CD68F6"/>
    <w:rsid w:val="00CE1560"/>
    <w:rsid w:val="00CF3D6B"/>
    <w:rsid w:val="00D126F1"/>
    <w:rsid w:val="00D339EF"/>
    <w:rsid w:val="00D46812"/>
    <w:rsid w:val="00D56F6C"/>
    <w:rsid w:val="00D67F38"/>
    <w:rsid w:val="00D70A8A"/>
    <w:rsid w:val="00D71CD8"/>
    <w:rsid w:val="00D92E9F"/>
    <w:rsid w:val="00DC5452"/>
    <w:rsid w:val="00DE6C0B"/>
    <w:rsid w:val="00DF4AA0"/>
    <w:rsid w:val="00E055D6"/>
    <w:rsid w:val="00E0728F"/>
    <w:rsid w:val="00E16B07"/>
    <w:rsid w:val="00E43B20"/>
    <w:rsid w:val="00E50F1E"/>
    <w:rsid w:val="00E636B7"/>
    <w:rsid w:val="00E650F4"/>
    <w:rsid w:val="00E81A73"/>
    <w:rsid w:val="00E86566"/>
    <w:rsid w:val="00E874E0"/>
    <w:rsid w:val="00EA0DDC"/>
    <w:rsid w:val="00EA35C2"/>
    <w:rsid w:val="00EB5DC3"/>
    <w:rsid w:val="00EB71F0"/>
    <w:rsid w:val="00ED0411"/>
    <w:rsid w:val="00ED2997"/>
    <w:rsid w:val="00ED7138"/>
    <w:rsid w:val="00EF0D7A"/>
    <w:rsid w:val="00F036B7"/>
    <w:rsid w:val="00F10002"/>
    <w:rsid w:val="00F32B4A"/>
    <w:rsid w:val="00F32B94"/>
    <w:rsid w:val="00F43676"/>
    <w:rsid w:val="00F649CF"/>
    <w:rsid w:val="00FB0B23"/>
    <w:rsid w:val="00FC5C37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31"/>
        <o:r id="V:Rule4" type="callout" idref="#_x0000_s1028"/>
        <o:r id="V:Rule5" type="callout" idref="#_x0000_s1034"/>
        <o:r id="V:Rule6" type="callout" idref="#_x0000_s1032"/>
        <o:r id="V:Rule8" type="connector" idref="#_x0000_s103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hyperlink" Target="https://fisquiweb.es/Apuntes/Apuntes2Fis/CifrasErrore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hyperlink" Target="https://fisquiweb.es/Laboratorio/AccesoZV.htm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6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641D-7047-4A15-8AD2-5A3C5F95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2020-11-19T08:12:00Z</cp:lastPrinted>
  <dcterms:created xsi:type="dcterms:W3CDTF">2021-02-16T07:14:00Z</dcterms:created>
  <dcterms:modified xsi:type="dcterms:W3CDTF">2021-02-16T07:14:00Z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